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Name 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Pd 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sz w:val="28"/>
          <w:szCs w:val="28"/>
          <w:rtl w:val="0"/>
        </w:rPr>
        <w:t xml:space="preserve">My Reassessment Study Plan and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Standard(s) that still need to be mastered (get this information off your original assessment): 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Date and time that I have arranged to reassess: 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Student Signature 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Teacher Signature 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Parent Signature 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resources (worksheets, class notes, labs/activities, review games, etc) do you have that you can use to study and review for the reassessment?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Briefly describe your study/review plan.  How often will you study? For how long? How will you know if you are improving?  What will you do if you still need help?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Student Signature 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Parent Signature 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Teacher Signature 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-11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0"/>
        <w:gridCol w:w="2880"/>
        <w:gridCol w:w="2880"/>
        <w:gridCol w:w="1440"/>
        <w:gridCol w:w="3420"/>
        <w:tblGridChange w:id="0">
          <w:tblGrid>
            <w:gridCol w:w="900"/>
            <w:gridCol w:w="2880"/>
            <w:gridCol w:w="2880"/>
            <w:gridCol w:w="1440"/>
            <w:gridCol w:w="342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What did you do to study?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What resource(s) did you use?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How long did you study for?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